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eastAsia="zh-CN"/>
        </w:rPr>
        <w:t>附件</w:t>
      </w:r>
      <w:r>
        <w:rPr>
          <w:rFonts w:hint="eastAsia" w:ascii="Times New Roman" w:hAnsi="Times New Roman" w:eastAsia="宋体" w:cs="Times New Roman"/>
          <w:b/>
          <w:bCs/>
          <w:lang w:val="en-US" w:eastAsia="zh-CN"/>
        </w:rPr>
        <w:t>2</w:t>
      </w:r>
      <w:bookmarkStart w:id="1" w:name="_GoBack"/>
      <w:bookmarkEnd w:id="1"/>
      <w:r>
        <w:rPr>
          <w:rFonts w:hint="default" w:ascii="Times New Roman" w:hAnsi="Times New Roman" w:eastAsia="宋体" w:cs="Times New Roman"/>
          <w:b/>
          <w:bCs/>
          <w:lang w:val="en-US" w:eastAsia="zh-CN"/>
        </w:rPr>
        <w:t>：环氧树脂施工要求</w:t>
      </w:r>
    </w:p>
    <w:p>
      <w:pPr>
        <w:spacing w:line="360" w:lineRule="auto"/>
        <w:jc w:val="center"/>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环氧树脂施工要求</w:t>
      </w:r>
    </w:p>
    <w:p>
      <w:pPr>
        <w:numPr>
          <w:ilvl w:val="0"/>
          <w:numId w:val="1"/>
        </w:numPr>
        <w:spacing w:line="360" w:lineRule="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制作技术要求</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rPr>
        <w:t xml:space="preserve"> 制作厚度：4层铺设，最终厚度</w:t>
      </w:r>
      <w:r>
        <w:rPr>
          <w:rFonts w:hint="default" w:ascii="Times New Roman" w:hAnsi="Times New Roman" w:eastAsia="宋体" w:cs="Times New Roman"/>
          <w:color w:val="auto"/>
          <w:sz w:val="24"/>
          <w:szCs w:val="24"/>
          <w:highlight w:val="none"/>
        </w:rPr>
        <w:t>≥2mm；</w:t>
      </w:r>
    </w:p>
    <w:p>
      <w:pPr>
        <w:widowControl w:val="0"/>
        <w:numPr>
          <w:ilvl w:val="0"/>
          <w:numId w:val="0"/>
        </w:num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颜色：</w:t>
      </w:r>
      <w:r>
        <w:rPr>
          <w:rFonts w:hint="default" w:ascii="Times New Roman" w:hAnsi="Times New Roman" w:eastAsia="宋体" w:cs="Times New Roman"/>
          <w:color w:val="auto"/>
          <w:sz w:val="24"/>
          <w:szCs w:val="24"/>
          <w:highlight w:val="none"/>
          <w:lang w:eastAsia="zh-CN"/>
        </w:rPr>
        <w:t>投标人</w:t>
      </w:r>
      <w:r>
        <w:rPr>
          <w:rFonts w:hint="default" w:ascii="Times New Roman" w:hAnsi="Times New Roman" w:eastAsia="宋体" w:cs="Times New Roman"/>
          <w:color w:val="auto"/>
          <w:sz w:val="24"/>
          <w:szCs w:val="24"/>
          <w:highlight w:val="none"/>
        </w:rPr>
        <w:t>需提供色板经</w:t>
      </w:r>
      <w:r>
        <w:rPr>
          <w:rFonts w:hint="default" w:ascii="Times New Roman" w:hAnsi="Times New Roman" w:eastAsia="宋体" w:cs="Times New Roman"/>
          <w:color w:val="auto"/>
          <w:sz w:val="24"/>
          <w:szCs w:val="24"/>
          <w:highlight w:val="none"/>
          <w:lang w:eastAsia="zh-CN"/>
        </w:rPr>
        <w:t>发包人</w:t>
      </w:r>
      <w:r>
        <w:rPr>
          <w:rFonts w:hint="default" w:ascii="Times New Roman" w:hAnsi="Times New Roman" w:eastAsia="宋体" w:cs="Times New Roman"/>
          <w:color w:val="auto"/>
          <w:sz w:val="24"/>
          <w:szCs w:val="24"/>
          <w:highlight w:val="none"/>
        </w:rPr>
        <w:t>确认</w:t>
      </w:r>
      <w:r>
        <w:rPr>
          <w:rFonts w:hint="default" w:ascii="Times New Roman" w:hAnsi="Times New Roman" w:eastAsia="宋体" w:cs="Times New Roman"/>
          <w:color w:val="auto"/>
          <w:sz w:val="24"/>
          <w:szCs w:val="24"/>
          <w:highlight w:val="none"/>
          <w:lang w:eastAsia="zh-CN"/>
        </w:rPr>
        <w:t>；</w:t>
      </w:r>
    </w:p>
    <w:p>
      <w:pPr>
        <w:widowControl w:val="0"/>
        <w:numPr>
          <w:ilvl w:val="0"/>
          <w:numId w:val="0"/>
        </w:numPr>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分界线规格：线宽度为120mm，厚度≥2mm</w:t>
      </w:r>
      <w:r>
        <w:rPr>
          <w:rFonts w:hint="default" w:ascii="Times New Roman" w:hAnsi="Times New Roman" w:eastAsia="宋体" w:cs="Times New Roman"/>
          <w:color w:val="auto"/>
          <w:sz w:val="24"/>
          <w:szCs w:val="24"/>
          <w:highlight w:val="none"/>
          <w:lang w:eastAsia="zh-CN"/>
        </w:rPr>
        <w:t>。</w:t>
      </w:r>
    </w:p>
    <w:p>
      <w:pPr>
        <w:widowControl w:val="0"/>
        <w:numPr>
          <w:ilvl w:val="0"/>
          <w:numId w:val="1"/>
        </w:numPr>
        <w:spacing w:line="360" w:lineRule="auto"/>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制作要求</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满足后附的环氧树脂施工工艺表相关要求；</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满足行业质量标准《整体地坪工程技术规程》CECS 328：2012、施工图、甲方技术文件、规格书、设施管理科《土建-环氧树脂地面制作技术要求》等要求；</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原地面油污较多新铺设地面前必须要对全部地面进行打磨，打磨至无油污渗漏层后才进行下一步施工；</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原地面损坏、起泡部分在新铺设时，必需要对所有损坏部位进行铲除，无法铲除部分需经过甲方确认后才可以进行下一步施工；</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原地面有遗留固定用铁钉等物品在新铺设时，必需要对所有物品进行打磨平整与地面等高，再进行下步施工；</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新铺设环氧地面制作施工时要保证地面平面度，铺设完成后平面度≤2mm/2m</w:t>
      </w:r>
      <w:r>
        <w:rPr>
          <w:rFonts w:hint="default" w:ascii="Times New Roman" w:hAnsi="Times New Roman" w:eastAsia="宋体" w:cs="Times New Roman"/>
          <w:color w:val="auto"/>
          <w:sz w:val="24"/>
          <w:szCs w:val="24"/>
          <w:highlight w:val="none"/>
          <w:lang w:eastAsia="zh-CN"/>
        </w:rPr>
        <w:t>。</w:t>
      </w:r>
    </w:p>
    <w:p>
      <w:pPr>
        <w:widowControl w:val="0"/>
        <w:numPr>
          <w:ilvl w:val="0"/>
          <w:numId w:val="1"/>
        </w:numPr>
        <w:spacing w:line="360" w:lineRule="auto"/>
        <w:ind w:left="0" w:leftChars="0" w:firstLine="0" w:firstLineChars="0"/>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其他说明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工作区域与物流通道分界处，划线时粘贴分色纸确保边界平整，不得出现渗边情况；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本工程所采用的材料等均应符合图纸要求及国家质量标准的合格产品，所有材料定货前提供样板，只有经</w:t>
      </w:r>
      <w:r>
        <w:rPr>
          <w:rFonts w:hint="default" w:ascii="Times New Roman" w:hAnsi="Times New Roman" w:eastAsia="宋体" w:cs="Times New Roman"/>
          <w:bCs/>
          <w:color w:val="auto"/>
          <w:sz w:val="24"/>
          <w:szCs w:val="24"/>
          <w:highlight w:val="none"/>
          <w:lang w:eastAsia="zh-CN"/>
        </w:rPr>
        <w:t>发包人</w:t>
      </w:r>
      <w:r>
        <w:rPr>
          <w:rFonts w:hint="default" w:ascii="Times New Roman" w:hAnsi="Times New Roman" w:eastAsia="宋体" w:cs="Times New Roman"/>
          <w:bCs/>
          <w:color w:val="auto"/>
          <w:sz w:val="24"/>
          <w:szCs w:val="24"/>
          <w:highlight w:val="none"/>
        </w:rPr>
        <w:t>相关人员签字确认后才能定购，否则</w:t>
      </w:r>
      <w:r>
        <w:rPr>
          <w:rFonts w:hint="default" w:ascii="Times New Roman" w:hAnsi="Times New Roman" w:eastAsia="宋体" w:cs="Times New Roman"/>
          <w:bCs/>
          <w:color w:val="auto"/>
          <w:sz w:val="24"/>
          <w:szCs w:val="24"/>
          <w:highlight w:val="none"/>
          <w:lang w:eastAsia="zh-CN"/>
        </w:rPr>
        <w:t>发包人</w:t>
      </w:r>
      <w:r>
        <w:rPr>
          <w:rFonts w:hint="default" w:ascii="Times New Roman" w:hAnsi="Times New Roman" w:eastAsia="宋体" w:cs="Times New Roman"/>
          <w:bCs/>
          <w:color w:val="auto"/>
          <w:sz w:val="24"/>
          <w:szCs w:val="24"/>
          <w:highlight w:val="none"/>
        </w:rPr>
        <w:t>一律退货，不予入场。</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环氧树脂施工工艺表</w:t>
      </w:r>
      <w:r>
        <w:rPr>
          <w:rFonts w:hint="default" w:ascii="Times New Roman" w:hAnsi="Times New Roman" w:eastAsia="宋体" w:cs="Times New Roman"/>
          <w:color w:val="auto"/>
          <w:sz w:val="24"/>
          <w:szCs w:val="24"/>
          <w:highlight w:val="none"/>
        </w:rPr>
        <w:t>（施工实际厚度不得小于工艺要求）</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04"/>
        <w:gridCol w:w="28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tblHeader/>
          <w:jc w:val="center"/>
        </w:trPr>
        <w:tc>
          <w:tcPr>
            <w:tcW w:w="1943" w:type="dxa"/>
            <w:tcBorders>
              <w:bottom w:val="single" w:color="auto" w:sz="4" w:space="0"/>
            </w:tcBorders>
            <w:vAlign w:val="center"/>
          </w:tcPr>
          <w:p>
            <w:pPr>
              <w:spacing w:line="360" w:lineRule="auto"/>
              <w:jc w:val="center"/>
              <w:rPr>
                <w:rFonts w:hint="default" w:ascii="Times New Roman" w:hAnsi="Times New Roman" w:eastAsia="宋体" w:cs="Times New Roman"/>
                <w:color w:val="auto"/>
                <w:sz w:val="24"/>
                <w:szCs w:val="24"/>
                <w:highlight w:val="none"/>
              </w:rPr>
            </w:pPr>
            <w:bookmarkStart w:id="0" w:name="OLE_LINK1" w:colFirst="0" w:colLast="3"/>
            <w:r>
              <w:rPr>
                <w:rFonts w:hint="default" w:ascii="Times New Roman" w:hAnsi="Times New Roman" w:eastAsia="宋体" w:cs="Times New Roman"/>
                <w:color w:val="auto"/>
                <w:sz w:val="24"/>
                <w:szCs w:val="24"/>
                <w:highlight w:val="none"/>
              </w:rPr>
              <w:t>名 称</w:t>
            </w:r>
          </w:p>
        </w:tc>
        <w:tc>
          <w:tcPr>
            <w:tcW w:w="1365" w:type="dxa"/>
            <w:tcBorders>
              <w:bottom w:val="single" w:color="auto" w:sz="4" w:space="0"/>
            </w:tcBorders>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723" w:type="dxa"/>
            <w:tcBorders>
              <w:bottom w:val="single" w:color="auto" w:sz="4" w:space="0"/>
            </w:tcBorders>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施工工艺</w:t>
            </w:r>
          </w:p>
        </w:tc>
        <w:tc>
          <w:tcPr>
            <w:tcW w:w="2253" w:type="dxa"/>
            <w:tcBorders>
              <w:bottom w:val="single" w:color="auto" w:sz="4" w:space="0"/>
            </w:tcBorders>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restart"/>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mm环氧树脂地坪</w:t>
            </w:r>
          </w:p>
        </w:tc>
        <w:tc>
          <w:tcPr>
            <w:tcW w:w="1365"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72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基面清理</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continue"/>
            <w:vAlign w:val="center"/>
          </w:tcPr>
          <w:p>
            <w:pPr>
              <w:spacing w:line="360" w:lineRule="auto"/>
              <w:jc w:val="center"/>
              <w:rPr>
                <w:rFonts w:hint="default" w:ascii="Times New Roman" w:hAnsi="Times New Roman" w:eastAsia="宋体" w:cs="Times New Roman"/>
                <w:color w:val="auto"/>
                <w:sz w:val="24"/>
                <w:szCs w:val="24"/>
                <w:highlight w:val="none"/>
              </w:rPr>
            </w:pPr>
          </w:p>
        </w:tc>
        <w:tc>
          <w:tcPr>
            <w:tcW w:w="1365"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72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铺设环氧底油一道</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continue"/>
            <w:vAlign w:val="center"/>
          </w:tcPr>
          <w:p>
            <w:pPr>
              <w:spacing w:line="360" w:lineRule="auto"/>
              <w:jc w:val="center"/>
              <w:rPr>
                <w:rFonts w:hint="default" w:ascii="Times New Roman" w:hAnsi="Times New Roman" w:eastAsia="宋体" w:cs="Times New Roman"/>
                <w:color w:val="auto"/>
                <w:sz w:val="24"/>
                <w:szCs w:val="24"/>
                <w:highlight w:val="none"/>
              </w:rPr>
            </w:pPr>
          </w:p>
        </w:tc>
        <w:tc>
          <w:tcPr>
            <w:tcW w:w="1365"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72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铺设环氧砂浆</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continue"/>
            <w:vAlign w:val="center"/>
          </w:tcPr>
          <w:p>
            <w:pPr>
              <w:spacing w:line="360" w:lineRule="auto"/>
              <w:jc w:val="center"/>
              <w:rPr>
                <w:rFonts w:hint="default" w:ascii="Times New Roman" w:hAnsi="Times New Roman" w:eastAsia="宋体" w:cs="Times New Roman"/>
                <w:color w:val="auto"/>
                <w:sz w:val="24"/>
                <w:szCs w:val="24"/>
                <w:highlight w:val="none"/>
              </w:rPr>
            </w:pPr>
          </w:p>
        </w:tc>
        <w:tc>
          <w:tcPr>
            <w:tcW w:w="1365"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72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打磨、吸尘、清洁</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continue"/>
            <w:vAlign w:val="center"/>
          </w:tcPr>
          <w:p>
            <w:pPr>
              <w:spacing w:line="360" w:lineRule="auto"/>
              <w:jc w:val="center"/>
              <w:rPr>
                <w:rFonts w:hint="default" w:ascii="Times New Roman" w:hAnsi="Times New Roman" w:eastAsia="宋体" w:cs="Times New Roman"/>
                <w:color w:val="auto"/>
                <w:sz w:val="24"/>
                <w:szCs w:val="24"/>
                <w:highlight w:val="none"/>
              </w:rPr>
            </w:pPr>
          </w:p>
        </w:tc>
        <w:tc>
          <w:tcPr>
            <w:tcW w:w="1365"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72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铺设环氧腻子</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continue"/>
            <w:vAlign w:val="center"/>
          </w:tcPr>
          <w:p>
            <w:pPr>
              <w:spacing w:line="360" w:lineRule="auto"/>
              <w:jc w:val="center"/>
              <w:rPr>
                <w:rFonts w:hint="default" w:ascii="Times New Roman" w:hAnsi="Times New Roman" w:eastAsia="宋体" w:cs="Times New Roman"/>
                <w:color w:val="auto"/>
                <w:sz w:val="24"/>
                <w:szCs w:val="24"/>
                <w:highlight w:val="none"/>
              </w:rPr>
            </w:pPr>
          </w:p>
        </w:tc>
        <w:tc>
          <w:tcPr>
            <w:tcW w:w="1365"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72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打磨、吸尘、清洁</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continue"/>
            <w:vAlign w:val="center"/>
          </w:tcPr>
          <w:p>
            <w:pPr>
              <w:spacing w:line="360" w:lineRule="auto"/>
              <w:jc w:val="center"/>
              <w:rPr>
                <w:rFonts w:hint="default" w:ascii="Times New Roman" w:hAnsi="Times New Roman" w:eastAsia="宋体" w:cs="Times New Roman"/>
                <w:color w:val="auto"/>
                <w:sz w:val="24"/>
                <w:szCs w:val="24"/>
                <w:highlight w:val="none"/>
              </w:rPr>
            </w:pPr>
          </w:p>
        </w:tc>
        <w:tc>
          <w:tcPr>
            <w:tcW w:w="1365"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72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铺设环氧面漆一道</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943" w:type="dxa"/>
            <w:vMerge w:val="continue"/>
            <w:vAlign w:val="center"/>
          </w:tcPr>
          <w:p>
            <w:pPr>
              <w:spacing w:line="360" w:lineRule="auto"/>
              <w:jc w:val="center"/>
              <w:rPr>
                <w:rFonts w:hint="default" w:ascii="Times New Roman" w:hAnsi="Times New Roman" w:eastAsia="宋体" w:cs="Times New Roman"/>
                <w:color w:val="auto"/>
                <w:sz w:val="24"/>
                <w:szCs w:val="24"/>
                <w:highlight w:val="none"/>
              </w:rPr>
            </w:pPr>
          </w:p>
        </w:tc>
        <w:tc>
          <w:tcPr>
            <w:tcW w:w="4088" w:type="dxa"/>
            <w:gridSpan w:val="2"/>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成型厚度</w:t>
            </w:r>
          </w:p>
        </w:tc>
        <w:tc>
          <w:tcPr>
            <w:tcW w:w="2253" w:type="dxa"/>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w:t>
            </w:r>
          </w:p>
        </w:tc>
      </w:tr>
      <w:bookmarkEnd w:id="0"/>
    </w:tbl>
    <w:p>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注：</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实际施工要求每道工艺厚度不低于上述数值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上述施工工序的材料厚度为最小值，施工完成后环氧树脂层总厚度≥2mm</w:t>
      </w:r>
      <w:r>
        <w:rPr>
          <w:rFonts w:hint="default" w:ascii="Times New Roman" w:hAnsi="Times New Roman" w:eastAsia="宋体" w:cs="Times New Roman"/>
          <w:color w:val="auto"/>
          <w:sz w:val="24"/>
          <w:szCs w:val="24"/>
          <w:highlight w:val="none"/>
          <w:lang w:val="en-US" w:eastAsia="zh-CN"/>
        </w:rPr>
        <w:t>。</w:t>
      </w:r>
    </w:p>
    <w:p>
      <w:pPr>
        <w:rPr>
          <w:rFonts w:ascii="仿宋_GB2312" w:hAnsi="宋体" w:eastAsia="仿宋_GB2312"/>
          <w:spacing w:val="4"/>
          <w:sz w:val="28"/>
          <w:szCs w:val="28"/>
        </w:rPr>
      </w:pPr>
      <w:r>
        <w:rPr>
          <w:rFonts w:hint="eastAsia" w:ascii="仿宋_GB2312" w:hAnsi="宋体" w:eastAsia="仿宋_GB2312"/>
          <w:spacing w:val="4"/>
          <w:sz w:val="28"/>
          <w:szCs w:val="28"/>
          <w:lang w:val="en-US" w:eastAsia="zh-CN"/>
        </w:rPr>
        <w:t xml:space="preserve">   </w:t>
      </w:r>
      <w:r>
        <w:rPr>
          <w:rFonts w:ascii="仿宋_GB2312" w:hAnsi="宋体" w:eastAsia="仿宋_GB2312"/>
          <w:spacing w:val="4"/>
          <w:sz w:val="28"/>
          <w:szCs w:val="28"/>
        </w:rPr>
        <w:drawing>
          <wp:inline distT="0" distB="0" distL="114300" distR="114300">
            <wp:extent cx="4951095" cy="1899920"/>
            <wp:effectExtent l="0" t="0" r="1905" b="5080"/>
            <wp:docPr id="1" name="图片 1" descr="剖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剖面图"/>
                    <pic:cNvPicPr>
                      <a:picLocks noChangeAspect="1"/>
                    </pic:cNvPicPr>
                  </pic:nvPicPr>
                  <pic:blipFill>
                    <a:blip r:embed="rId4"/>
                    <a:stretch>
                      <a:fillRect/>
                    </a:stretch>
                  </pic:blipFill>
                  <pic:spPr>
                    <a:xfrm>
                      <a:off x="0" y="0"/>
                      <a:ext cx="4951095" cy="1899920"/>
                    </a:xfrm>
                    <a:prstGeom prst="rect">
                      <a:avLst/>
                    </a:prstGeom>
                    <a:noFill/>
                    <a:ln>
                      <a:noFill/>
                    </a:ln>
                  </pic:spPr>
                </pic:pic>
              </a:graphicData>
            </a:graphic>
          </wp:inline>
        </w:drawing>
      </w:r>
    </w:p>
    <w:p>
      <w:pPr>
        <w:jc w:val="center"/>
        <w:rPr>
          <w:rFonts w:hint="default" w:ascii="仿宋_GB2312" w:hAnsi="宋体" w:eastAsia="仿宋_GB2312"/>
          <w:spacing w:val="4"/>
          <w:sz w:val="28"/>
          <w:szCs w:val="28"/>
        </w:rPr>
      </w:pPr>
      <w:r>
        <w:rPr>
          <w:rFonts w:hint="eastAsia" w:ascii="仿宋_GB2312" w:hAnsi="宋体" w:eastAsia="仿宋_GB2312"/>
          <w:spacing w:val="4"/>
          <w:sz w:val="28"/>
          <w:szCs w:val="28"/>
          <w:lang w:eastAsia="zh-CN"/>
        </w:rPr>
        <w:t>环氧树脂地坪漆</w:t>
      </w:r>
      <w:r>
        <w:rPr>
          <w:rFonts w:hint="eastAsia" w:ascii="仿宋_GB2312" w:hAnsi="宋体" w:eastAsia="仿宋_GB2312"/>
          <w:spacing w:val="4"/>
          <w:sz w:val="28"/>
          <w:szCs w:val="28"/>
        </w:rPr>
        <w:t>剖面图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11F8C"/>
    <w:multiLevelType w:val="singleLevel"/>
    <w:tmpl w:val="51D11F8C"/>
    <w:lvl w:ilvl="0" w:tentative="0">
      <w:start w:val="1"/>
      <w:numFmt w:val="chineseCounting"/>
      <w:suff w:val="nothing"/>
      <w:lvlText w:val="%1、"/>
      <w:lvlJc w:val="left"/>
      <w:rPr>
        <w:rFonts w:hint="eastAsia"/>
      </w:rPr>
    </w:lvl>
  </w:abstractNum>
  <w:abstractNum w:abstractNumId="1">
    <w:nsid w:val="64EDD394"/>
    <w:multiLevelType w:val="singleLevel"/>
    <w:tmpl w:val="64EDD3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1A2F"/>
    <w:rsid w:val="11E9219A"/>
    <w:rsid w:val="431A3816"/>
    <w:rsid w:val="5B102138"/>
    <w:rsid w:val="717C62B5"/>
    <w:rsid w:val="71DE3951"/>
    <w:rsid w:val="776C1A2F"/>
    <w:rsid w:val="7C7E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2022-01-28T01:02:00Z</dcterms:created>
  <dc:creator>HT</dc:creator>
  <cp:lastModifiedBy>HT</cp:lastModifiedBy>
  <dcterms:modified xsi:type="dcterms:W3CDTF">2022-01-28T02:18:12Z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312BF3C031CF4257A98CEB7BB2C116E6</vt:lpwstr>
  </property>
</Properties>
</file>